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70A03EA6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AF4F0E">
        <w:rPr>
          <w:rFonts w:ascii="Tahoma" w:eastAsia="Lucida Sans Unicode" w:hAnsi="Tahoma" w:cs="Tahoma"/>
          <w:kern w:val="3"/>
          <w:lang w:eastAsia="zh-CN"/>
        </w:rPr>
        <w:t>2</w:t>
      </w:r>
      <w:r w:rsidR="007033E8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1800FC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432E61FF" w:rsidR="003552DE" w:rsidRPr="003552DE" w:rsidRDefault="003552DE" w:rsidP="001E6309">
      <w:pPr>
        <w:tabs>
          <w:tab w:val="left" w:pos="900"/>
          <w:tab w:val="left" w:pos="1080"/>
        </w:tabs>
        <w:spacing w:after="24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1800FC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3552DE">
        <w:rPr>
          <w:rFonts w:ascii="Tahoma" w:hAnsi="Tahoma" w:cs="Tahoma"/>
          <w:b/>
        </w:rPr>
        <w:t>”</w:t>
      </w:r>
    </w:p>
    <w:p w14:paraId="76EC5CC8" w14:textId="5EE72884" w:rsidR="003552DE" w:rsidRPr="003552DE" w:rsidRDefault="00C5660D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Modyfikacja</w:t>
      </w:r>
      <w:r w:rsidR="003552DE" w:rsidRPr="003552DE">
        <w:rPr>
          <w:rFonts w:ascii="Tahoma" w:hAnsi="Tahoma" w:cs="Tahoma"/>
          <w:b/>
          <w:bCs/>
        </w:rPr>
        <w:t xml:space="preserve"> </w:t>
      </w:r>
      <w:r w:rsidR="00C04D61">
        <w:rPr>
          <w:rFonts w:ascii="Tahoma" w:hAnsi="Tahoma" w:cs="Tahoma"/>
          <w:b/>
          <w:bCs/>
        </w:rPr>
        <w:t xml:space="preserve">treści </w:t>
      </w:r>
      <w:r w:rsidR="003552DE"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</w:t>
      </w:r>
      <w:r w:rsidR="007033E8">
        <w:rPr>
          <w:rFonts w:ascii="Tahoma" w:hAnsi="Tahoma" w:cs="Tahoma"/>
          <w:b/>
          <w:bCs/>
        </w:rPr>
        <w:t>nr 2</w:t>
      </w:r>
    </w:p>
    <w:p w14:paraId="66F3282F" w14:textId="147FCC6D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C5660D">
        <w:rPr>
          <w:rFonts w:ascii="Tahoma" w:hAnsi="Tahoma" w:cs="Tahoma"/>
        </w:rPr>
        <w:t>6</w:t>
      </w:r>
      <w:r w:rsidR="004A6192">
        <w:rPr>
          <w:rFonts w:ascii="Tahoma" w:hAnsi="Tahoma" w:cs="Tahoma"/>
        </w:rPr>
        <w:t xml:space="preserve"> ust. </w:t>
      </w:r>
      <w:r w:rsidR="00C5660D">
        <w:rPr>
          <w:rFonts w:ascii="Tahoma" w:hAnsi="Tahoma" w:cs="Tahoma"/>
        </w:rPr>
        <w:t>1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C5660D">
        <w:rPr>
          <w:rFonts w:ascii="Tahoma" w:hAnsi="Tahoma" w:cs="Tahoma"/>
        </w:rPr>
        <w:t>dokonuje zmiany</w:t>
      </w:r>
      <w:r w:rsidR="002A60CB">
        <w:rPr>
          <w:rFonts w:ascii="Tahoma" w:hAnsi="Tahoma" w:cs="Tahoma"/>
        </w:rPr>
        <w:t xml:space="preserve"> </w:t>
      </w:r>
      <w:r w:rsidR="00DD18E1">
        <w:rPr>
          <w:rFonts w:ascii="Tahoma" w:hAnsi="Tahoma" w:cs="Tahoma"/>
        </w:rPr>
        <w:t>treści SWZ</w:t>
      </w:r>
      <w:r w:rsidR="00C5660D">
        <w:rPr>
          <w:rFonts w:ascii="Tahoma" w:hAnsi="Tahoma" w:cs="Tahoma"/>
        </w:rPr>
        <w:t xml:space="preserve"> </w:t>
      </w:r>
      <w:r w:rsidR="00066591">
        <w:rPr>
          <w:rFonts w:ascii="Tahoma" w:hAnsi="Tahoma" w:cs="Tahoma"/>
        </w:rPr>
        <w:br/>
      </w:r>
      <w:r w:rsidR="00C5660D">
        <w:rPr>
          <w:rFonts w:ascii="Tahoma" w:hAnsi="Tahoma" w:cs="Tahoma"/>
        </w:rPr>
        <w:t>w następującym zakresie</w:t>
      </w:r>
      <w:r w:rsidR="002A60CB">
        <w:rPr>
          <w:rFonts w:ascii="Tahoma" w:hAnsi="Tahoma" w:cs="Tahoma"/>
        </w:rPr>
        <w:t>:</w:t>
      </w:r>
    </w:p>
    <w:p w14:paraId="3599DBB1" w14:textId="53B06991" w:rsidR="00931BBF" w:rsidRPr="009934B1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pl-PL"/>
        </w:rPr>
      </w:pPr>
      <w:r w:rsidRPr="009934B1">
        <w:rPr>
          <w:rFonts w:ascii="Tahoma" w:hAnsi="Tahoma" w:cs="Tahoma"/>
          <w:b/>
          <w:bCs/>
          <w:kern w:val="0"/>
          <w:sz w:val="24"/>
          <w:szCs w:val="24"/>
          <w:lang w:eastAsia="pl-PL"/>
        </w:rPr>
        <w:t>Odpowiedzi na zadane pytania:</w:t>
      </w:r>
    </w:p>
    <w:p w14:paraId="31CEC07C" w14:textId="63BB2299" w:rsidR="001E6309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1D2B2159" w14:textId="76AF491D" w:rsidR="001E6309" w:rsidRPr="00A64DE9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pl-PL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pl-PL"/>
        </w:rPr>
        <w:t>Pytanie nr 1</w:t>
      </w:r>
    </w:p>
    <w:p w14:paraId="77E77160" w14:textId="29C15F29" w:rsidR="007033E8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  <w:r w:rsidRPr="007033E8">
        <w:rPr>
          <w:rFonts w:ascii="Tahoma" w:hAnsi="Tahoma" w:cs="Tahoma"/>
          <w:kern w:val="0"/>
          <w:lang w:eastAsia="pl-PL"/>
        </w:rPr>
        <w:t>Proszę o dalsze wyjaśnienia.</w:t>
      </w:r>
    </w:p>
    <w:p w14:paraId="7A6C74B1" w14:textId="77777777" w:rsidR="007033E8" w:rsidRPr="007033E8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pl-PL"/>
        </w:rPr>
      </w:pPr>
    </w:p>
    <w:p w14:paraId="04F55734" w14:textId="77777777" w:rsidR="007033E8" w:rsidRPr="007033E8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pl-PL"/>
        </w:rPr>
      </w:pPr>
      <w:r w:rsidRPr="007033E8">
        <w:rPr>
          <w:rFonts w:ascii="Tahoma" w:hAnsi="Tahoma" w:cs="Tahoma"/>
          <w:i/>
          <w:iCs/>
          <w:kern w:val="0"/>
          <w:sz w:val="18"/>
          <w:szCs w:val="18"/>
          <w:lang w:eastAsia="pl-PL"/>
        </w:rPr>
        <w:t>Wykonawca zadał pytanie:</w:t>
      </w:r>
    </w:p>
    <w:p w14:paraId="531F2BF3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Pytanie nr 3</w:t>
      </w:r>
    </w:p>
    <w:p w14:paraId="6DE5DCBF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Proszę o wskazanie właściwych przekrojów konstrukcyjnych:</w:t>
      </w:r>
    </w:p>
    <w:p w14:paraId="26527291" w14:textId="77777777" w:rsidR="007033E8" w:rsidRPr="00CD0421" w:rsidRDefault="007033E8" w:rsidP="007033E8">
      <w:pPr>
        <w:numPr>
          <w:ilvl w:val="0"/>
          <w:numId w:val="14"/>
        </w:numPr>
        <w:suppressAutoHyphens w:val="0"/>
        <w:overflowPunct/>
        <w:autoSpaceDE/>
        <w:ind w:left="709" w:hanging="425"/>
        <w:jc w:val="both"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 xml:space="preserve">Układ warstw nawierzchni asfaltowej jest inny w przedmiarze od wskazanego na rysunku „PAB-4 Przekroje przez nawierzchnię utwardzoną” oraz rysunków PT3, PT4. Proszę o wskazanie właściwego (dokumentu wg którego należy wycenić nawierzchnię asfaltową). </w:t>
      </w:r>
    </w:p>
    <w:p w14:paraId="4401DCCC" w14:textId="77777777" w:rsidR="007033E8" w:rsidRPr="00CD0421" w:rsidRDefault="007033E8" w:rsidP="007033E8">
      <w:pPr>
        <w:numPr>
          <w:ilvl w:val="0"/>
          <w:numId w:val="14"/>
        </w:numPr>
        <w:suppressAutoHyphens w:val="0"/>
        <w:overflowPunct/>
        <w:autoSpaceDE/>
        <w:ind w:left="709" w:hanging="425"/>
        <w:jc w:val="both"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 xml:space="preserve">Układ warstw nawierzchni z kostki brukowej jest inny w przedmiarze od wskazanego na rysunku PAB-4 Przekroje przez nawierzchnię utwardzoną. Proszę o wskazanie właściwego. </w:t>
      </w:r>
    </w:p>
    <w:p w14:paraId="168059D3" w14:textId="00F28F87" w:rsidR="007033E8" w:rsidRPr="00CD0421" w:rsidRDefault="007033E8" w:rsidP="007033E8">
      <w:pPr>
        <w:numPr>
          <w:ilvl w:val="0"/>
          <w:numId w:val="14"/>
        </w:numPr>
        <w:suppressAutoHyphens w:val="0"/>
        <w:overflowPunct/>
        <w:autoSpaceDE/>
        <w:ind w:left="709" w:hanging="425"/>
        <w:jc w:val="both"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 xml:space="preserve">Układ warstw na rysunku PAB8-Przekrój przez parking nr 4-jest inny niż w przedmiarze. Proszę </w:t>
      </w: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br/>
        <w:t>o wskazanie właściwego.</w:t>
      </w:r>
    </w:p>
    <w:p w14:paraId="5502B3B7" w14:textId="77777777" w:rsidR="007033E8" w:rsidRPr="00CD0421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Generalnie w przedmiarze robót wskazano pozycje dot. wyrównania istniejącej podbudowy- Wykonawca nie ma możliwości zweryfikowania pod jakim metrażem należy wykonać wyrównanie istniejącej podbudowy, a pod jakim wykonanie nowej- proszę o potwierdzenie, że należy przyjąć ilości z przedmiaru.</w:t>
      </w:r>
    </w:p>
    <w:p w14:paraId="63B558EE" w14:textId="77777777" w:rsidR="007033E8" w:rsidRPr="00CD0421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Ponadto zarówno w nowej, jak i istniejącej występują różnice pomiędzy przedmiarem, a rysunkami. Proszę o potwierdzenie, że można przyjąć te z przedmiaru.</w:t>
      </w:r>
    </w:p>
    <w:p w14:paraId="3F21A06A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Odpowiedź:</w:t>
      </w:r>
    </w:p>
    <w:p w14:paraId="0813E950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Pkt a)</w:t>
      </w:r>
    </w:p>
    <w:p w14:paraId="7EEA5DA1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</w:pPr>
      <w:r w:rsidRPr="00CD0421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t xml:space="preserve">Właściwa wersja jest w PT, który został uszczegółowiony i uaktualniony. Należy kierować się rysunkami PT nr rys. 3, PT nr rys. 4 </w:t>
      </w:r>
    </w:p>
    <w:p w14:paraId="06A34492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Pkt b)</w:t>
      </w:r>
    </w:p>
    <w:p w14:paraId="408A4CF0" w14:textId="77777777" w:rsidR="007033E8" w:rsidRPr="00CD0421" w:rsidRDefault="007033E8" w:rsidP="00CD0421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</w:pPr>
      <w:r w:rsidRPr="00CD0421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t>Właściwa wersja jest w PT, który został uszczegółowiony i uaktualniony.</w:t>
      </w:r>
    </w:p>
    <w:p w14:paraId="14B667A7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Pkt c)</w:t>
      </w:r>
    </w:p>
    <w:p w14:paraId="34B3387A" w14:textId="77777777" w:rsidR="007033E8" w:rsidRPr="00CD0421" w:rsidRDefault="007033E8" w:rsidP="00CD0421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</w:pPr>
      <w:r w:rsidRPr="00CD0421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t>Właściwa wersja jest w PT, który został uszczegółowiony i uaktualniony.</w:t>
      </w:r>
    </w:p>
    <w:p w14:paraId="0B7ABFB8" w14:textId="77777777" w:rsidR="007033E8" w:rsidRPr="00CD0421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</w:pPr>
      <w:r w:rsidRPr="00CD0421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t xml:space="preserve">Generalnie w przedmiarze robót wskazano pozycje dot. wyrównania istniejącej podbudowy- Wykonawca nie ma możliwości zweryfikowania pod jakim metrażem należy wykonać wyrównanie istniejącej podbudowy, a pod jakim wykonanie nowej - proszę o potwierdzenie, że należy przyjąć ilości </w:t>
      </w:r>
      <w:r w:rsidRPr="00CD0421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br/>
        <w:t>z przedmiaru.</w:t>
      </w:r>
    </w:p>
    <w:p w14:paraId="7F19B1A2" w14:textId="77777777" w:rsidR="007033E8" w:rsidRPr="00CD0421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CD0421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Odpowiedź:</w:t>
      </w:r>
    </w:p>
    <w:p w14:paraId="17C0921C" w14:textId="77777777" w:rsidR="007033E8" w:rsidRPr="007033E8" w:rsidRDefault="007033E8" w:rsidP="007033E8">
      <w:pPr>
        <w:suppressAutoHyphens w:val="0"/>
        <w:overflowPunct/>
        <w:autoSpaceDE/>
        <w:textAlignment w:val="auto"/>
        <w:rPr>
          <w:rFonts w:ascii="Tahoma" w:hAnsi="Tahoma" w:cs="Tahoma"/>
          <w:i/>
          <w:iCs/>
          <w:kern w:val="0"/>
          <w:sz w:val="18"/>
          <w:szCs w:val="18"/>
          <w:lang w:eastAsia="en-US"/>
        </w:rPr>
      </w:pPr>
      <w:r w:rsidRPr="007033E8">
        <w:rPr>
          <w:rFonts w:ascii="Tahoma" w:hAnsi="Tahoma" w:cs="Tahoma"/>
          <w:i/>
          <w:iCs/>
          <w:kern w:val="0"/>
          <w:sz w:val="18"/>
          <w:szCs w:val="18"/>
          <w:lang w:eastAsia="en-US"/>
        </w:rPr>
        <w:t>Należy przyjąć wg przedmiaru.</w:t>
      </w:r>
    </w:p>
    <w:p w14:paraId="51B1F232" w14:textId="77777777" w:rsidR="007033E8" w:rsidRPr="007033E8" w:rsidRDefault="007033E8" w:rsidP="007033E8">
      <w:pPr>
        <w:suppressAutoHyphens w:val="0"/>
        <w:overflowPunct/>
        <w:autoSpaceDE/>
        <w:spacing w:before="120"/>
        <w:jc w:val="both"/>
        <w:textAlignment w:val="auto"/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</w:pPr>
      <w:r w:rsidRPr="007033E8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t>Ponadto zarówno w nowej, jak i istniejącej występują różnice pomiędzy przedmiarem, a rysunkami. Proszę o potwierdzenie, że można przyjąć te z przedmiaru.</w:t>
      </w:r>
    </w:p>
    <w:p w14:paraId="32A54095" w14:textId="77777777" w:rsidR="007033E8" w:rsidRPr="00CD0421" w:rsidRDefault="007033E8" w:rsidP="007033E8">
      <w:pPr>
        <w:suppressAutoHyphens w:val="0"/>
        <w:overflowPunct/>
        <w:autoSpaceDE/>
        <w:spacing w:before="120"/>
        <w:jc w:val="both"/>
        <w:textAlignment w:val="auto"/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</w:pPr>
      <w:r w:rsidRPr="00CD0421">
        <w:rPr>
          <w:rFonts w:ascii="Tahoma" w:hAnsi="Tahoma" w:cs="Tahoma"/>
          <w:i/>
          <w:iCs/>
          <w:color w:val="000000"/>
          <w:kern w:val="0"/>
          <w:sz w:val="18"/>
          <w:szCs w:val="18"/>
          <w:lang w:eastAsia="pl-PL"/>
        </w:rPr>
        <w:t>Odpowiedź:</w:t>
      </w:r>
    </w:p>
    <w:p w14:paraId="08AB547F" w14:textId="77777777" w:rsidR="007033E8" w:rsidRPr="007033E8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sz w:val="18"/>
          <w:szCs w:val="18"/>
          <w:lang w:eastAsia="pl-PL"/>
        </w:rPr>
      </w:pPr>
      <w:r w:rsidRPr="007033E8">
        <w:rPr>
          <w:rFonts w:ascii="Tahoma" w:hAnsi="Tahoma" w:cs="Tahoma"/>
          <w:i/>
          <w:iCs/>
          <w:kern w:val="0"/>
          <w:sz w:val="18"/>
          <w:szCs w:val="18"/>
          <w:lang w:eastAsia="pl-PL"/>
        </w:rPr>
        <w:t>Należy kierować się PT i przedmiarami robót.</w:t>
      </w:r>
      <w:r w:rsidRPr="007033E8">
        <w:rPr>
          <w:rFonts w:ascii="Tahoma" w:hAnsi="Tahoma" w:cs="Tahoma"/>
          <w:kern w:val="0"/>
          <w:sz w:val="18"/>
          <w:szCs w:val="18"/>
          <w:lang w:eastAsia="pl-PL"/>
        </w:rPr>
        <w:t xml:space="preserve"> </w:t>
      </w:r>
    </w:p>
    <w:p w14:paraId="2FD540BD" w14:textId="77777777" w:rsidR="007033E8" w:rsidRPr="007033E8" w:rsidRDefault="007033E8" w:rsidP="007033E8">
      <w:pPr>
        <w:suppressAutoHyphens w:val="0"/>
        <w:overflowPunct/>
        <w:autoSpaceDE/>
        <w:textAlignment w:val="auto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232159C5" w14:textId="77777777" w:rsidR="007033E8" w:rsidRPr="007033E8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7033E8">
        <w:rPr>
          <w:rFonts w:ascii="Tahoma" w:hAnsi="Tahoma" w:cs="Tahoma"/>
          <w:kern w:val="0"/>
          <w:lang w:eastAsia="pl-PL"/>
        </w:rPr>
        <w:t>Z jednej strony Zamawiający odpowiada, ze należy wycenić zgodnie z przedmiarem, natomiast w dalszej części odpowiedzi informuje, ze zgodnie z przedmiarem i rysunkami PT3, PT4. Te rysunki i przedmiar robót nie zawierają spójnych informacji i wykluczają się wzajemnie-wykonawca finalnie nie wie wg jakiego układu warstw ma wycenić nawierzchnię asfaltową.</w:t>
      </w:r>
    </w:p>
    <w:p w14:paraId="517D9C81" w14:textId="2A8DB535" w:rsidR="007033E8" w:rsidRPr="007033E8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7033E8">
        <w:rPr>
          <w:rFonts w:ascii="Tahoma" w:hAnsi="Tahoma" w:cs="Tahoma"/>
          <w:kern w:val="0"/>
          <w:lang w:eastAsia="pl-PL"/>
        </w:rPr>
        <w:t>Jeśli Zamawiaj</w:t>
      </w:r>
      <w:r>
        <w:rPr>
          <w:rFonts w:ascii="Tahoma" w:hAnsi="Tahoma" w:cs="Tahoma"/>
          <w:kern w:val="0"/>
          <w:lang w:eastAsia="pl-PL"/>
        </w:rPr>
        <w:t>ą</w:t>
      </w:r>
      <w:r w:rsidRPr="007033E8">
        <w:rPr>
          <w:rFonts w:ascii="Tahoma" w:hAnsi="Tahoma" w:cs="Tahoma"/>
          <w:kern w:val="0"/>
          <w:lang w:eastAsia="pl-PL"/>
        </w:rPr>
        <w:t>cy oczekuje wykonania zgodnie z rysunkami, proszę o podanie metrażu dla konkretnego układu nawierzchni (z nową podbudową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033E8">
        <w:rPr>
          <w:rFonts w:ascii="Tahoma" w:hAnsi="Tahoma" w:cs="Tahoma"/>
          <w:kern w:val="0"/>
          <w:lang w:eastAsia="pl-PL"/>
        </w:rPr>
        <w:t>-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033E8">
        <w:rPr>
          <w:rFonts w:ascii="Tahoma" w:hAnsi="Tahoma" w:cs="Tahoma"/>
          <w:kern w:val="0"/>
          <w:lang w:eastAsia="pl-PL"/>
        </w:rPr>
        <w:t>jak</w:t>
      </w:r>
      <w:r>
        <w:rPr>
          <w:rFonts w:ascii="Tahoma" w:hAnsi="Tahoma" w:cs="Tahoma"/>
          <w:kern w:val="0"/>
          <w:lang w:eastAsia="pl-PL"/>
        </w:rPr>
        <w:t>a</w:t>
      </w:r>
      <w:r w:rsidRPr="007033E8">
        <w:rPr>
          <w:rFonts w:ascii="Tahoma" w:hAnsi="Tahoma" w:cs="Tahoma"/>
          <w:kern w:val="0"/>
          <w:lang w:eastAsia="pl-PL"/>
        </w:rPr>
        <w:t xml:space="preserve"> ilość m2? Z istniejącą podbudową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033E8">
        <w:rPr>
          <w:rFonts w:ascii="Tahoma" w:hAnsi="Tahoma" w:cs="Tahoma"/>
          <w:kern w:val="0"/>
          <w:lang w:eastAsia="pl-PL"/>
        </w:rPr>
        <w:t>-</w:t>
      </w:r>
      <w:r>
        <w:rPr>
          <w:rFonts w:ascii="Tahoma" w:hAnsi="Tahoma" w:cs="Tahoma"/>
          <w:kern w:val="0"/>
          <w:lang w:eastAsia="pl-PL"/>
        </w:rPr>
        <w:t xml:space="preserve"> </w:t>
      </w:r>
      <w:r w:rsidRPr="007033E8">
        <w:rPr>
          <w:rFonts w:ascii="Tahoma" w:hAnsi="Tahoma" w:cs="Tahoma"/>
          <w:kern w:val="0"/>
          <w:lang w:eastAsia="pl-PL"/>
        </w:rPr>
        <w:t>jaka ilość m2?)</w:t>
      </w:r>
    </w:p>
    <w:p w14:paraId="44FDF3ED" w14:textId="69DC564C" w:rsidR="001E6309" w:rsidRPr="00A64DE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Odpowiedź:</w:t>
      </w:r>
    </w:p>
    <w:p w14:paraId="11658C21" w14:textId="7BF0B04F" w:rsidR="00020D7C" w:rsidRPr="00A64DE9" w:rsidRDefault="00020D7C" w:rsidP="00A64DE9">
      <w:pPr>
        <w:jc w:val="both"/>
        <w:rPr>
          <w:rFonts w:ascii="Tahoma" w:hAnsi="Tahoma" w:cs="Tahoma"/>
          <w:kern w:val="0"/>
          <w:lang w:eastAsia="pl-PL"/>
        </w:rPr>
      </w:pPr>
      <w:r w:rsidRPr="00A64DE9">
        <w:rPr>
          <w:rFonts w:ascii="Tahoma" w:hAnsi="Tahoma" w:cs="Tahoma"/>
          <w:kern w:val="0"/>
          <w:lang w:eastAsia="pl-PL"/>
        </w:rPr>
        <w:t>W załączniku dołączamy rys. nr 2a – z wyliczonymi w sposób jednoznaczny powierzchniami z istniejącą podbudową i projektowaną. Proszę kierować się tymi wyliczeniami.</w:t>
      </w:r>
    </w:p>
    <w:p w14:paraId="3D4A639D" w14:textId="77777777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kern w:val="0"/>
          <w:lang w:eastAsia="en-US"/>
        </w:rPr>
      </w:pPr>
    </w:p>
    <w:p w14:paraId="050F3C0C" w14:textId="7CAB574E" w:rsidR="001E6309" w:rsidRPr="00A64DE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Pytanie nr 2</w:t>
      </w:r>
    </w:p>
    <w:p w14:paraId="04AE21BC" w14:textId="1448842D" w:rsidR="007033E8" w:rsidRPr="007033E8" w:rsidRDefault="007033E8" w:rsidP="007033E8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7033E8">
        <w:rPr>
          <w:rFonts w:ascii="Tahoma" w:hAnsi="Tahoma" w:cs="Tahoma"/>
          <w:kern w:val="0"/>
          <w:lang w:eastAsia="pl-PL"/>
        </w:rPr>
        <w:t>Zwracamy się także z prośbą o wydłużenie terminu składania ofert o jeszcze kilka dni. Zamawiający miał odpowiednią ilość dni na przygotowanie odpowiedzi, natomiast Wykonawca musi wycenić elementy specjalistyczne w 3 dni-</w:t>
      </w:r>
      <w:r w:rsidR="00C134FF">
        <w:rPr>
          <w:rFonts w:ascii="Tahoma" w:hAnsi="Tahoma" w:cs="Tahoma"/>
          <w:kern w:val="0"/>
          <w:lang w:eastAsia="pl-PL"/>
        </w:rPr>
        <w:t xml:space="preserve"> </w:t>
      </w:r>
      <w:r w:rsidRPr="007033E8">
        <w:rPr>
          <w:rFonts w:ascii="Tahoma" w:hAnsi="Tahoma" w:cs="Tahoma"/>
          <w:kern w:val="0"/>
          <w:lang w:eastAsia="pl-PL"/>
        </w:rPr>
        <w:t>np.</w:t>
      </w:r>
      <w:r w:rsidR="00C134FF">
        <w:rPr>
          <w:rFonts w:ascii="Tahoma" w:hAnsi="Tahoma" w:cs="Tahoma"/>
          <w:kern w:val="0"/>
          <w:lang w:eastAsia="pl-PL"/>
        </w:rPr>
        <w:t xml:space="preserve"> </w:t>
      </w:r>
      <w:r w:rsidRPr="007033E8">
        <w:rPr>
          <w:rFonts w:ascii="Tahoma" w:hAnsi="Tahoma" w:cs="Tahoma"/>
          <w:kern w:val="0"/>
          <w:lang w:eastAsia="pl-PL"/>
        </w:rPr>
        <w:t>ogrody wertykalne, czy totem informacyjny. Dołożenie 2-3 dni do terminu składania ofert nie będzie miało znaczącego wpływu na realizację inwestycji, a Wykonawcy umożliwi rzetelne przygotowanie oferty.</w:t>
      </w:r>
    </w:p>
    <w:p w14:paraId="65863B20" w14:textId="13EC77FF" w:rsidR="001E6309" w:rsidRPr="00A64DE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Odpowiedź:</w:t>
      </w:r>
    </w:p>
    <w:p w14:paraId="33E99F1D" w14:textId="3A0C69A1" w:rsidR="0000797D" w:rsidRPr="001D2699" w:rsidRDefault="00C134FF" w:rsidP="0000797D">
      <w:pPr>
        <w:tabs>
          <w:tab w:val="left" w:pos="-142"/>
        </w:tabs>
        <w:jc w:val="both"/>
        <w:rPr>
          <w:rFonts w:ascii="Tahoma" w:hAnsi="Tahoma" w:cs="Tahoma"/>
          <w:color w:val="000000"/>
          <w:kern w:val="0"/>
          <w:lang w:eastAsia="pl-PL"/>
        </w:rPr>
      </w:pPr>
      <w:r>
        <w:rPr>
          <w:rFonts w:ascii="Tahoma" w:hAnsi="Tahoma" w:cs="Tahoma"/>
          <w:color w:val="000000"/>
          <w:kern w:val="0"/>
          <w:lang w:eastAsia="pl-PL"/>
        </w:rPr>
        <w:t xml:space="preserve">Zamawiający wydłużył termin składania ofert do dnia </w:t>
      </w:r>
      <w:r w:rsidR="00A64DE9">
        <w:rPr>
          <w:rFonts w:ascii="Tahoma" w:hAnsi="Tahoma" w:cs="Tahoma"/>
          <w:color w:val="000000"/>
          <w:kern w:val="0"/>
          <w:lang w:eastAsia="pl-PL"/>
        </w:rPr>
        <w:t>28</w:t>
      </w:r>
      <w:r>
        <w:rPr>
          <w:rFonts w:ascii="Tahoma" w:hAnsi="Tahoma" w:cs="Tahoma"/>
          <w:color w:val="000000"/>
          <w:kern w:val="0"/>
          <w:lang w:eastAsia="pl-PL"/>
        </w:rPr>
        <w:t>.</w:t>
      </w:r>
      <w:r w:rsidR="00A64DE9">
        <w:rPr>
          <w:rFonts w:ascii="Tahoma" w:hAnsi="Tahoma" w:cs="Tahoma"/>
          <w:color w:val="000000"/>
          <w:kern w:val="0"/>
          <w:lang w:eastAsia="pl-PL"/>
        </w:rPr>
        <w:t>02</w:t>
      </w:r>
      <w:r>
        <w:rPr>
          <w:rFonts w:ascii="Tahoma" w:hAnsi="Tahoma" w:cs="Tahoma"/>
          <w:color w:val="000000"/>
          <w:kern w:val="0"/>
          <w:lang w:eastAsia="pl-PL"/>
        </w:rPr>
        <w:t>.2023r. do godz. 10:00</w:t>
      </w:r>
      <w:r w:rsidR="00A64DE9">
        <w:rPr>
          <w:rFonts w:ascii="Tahoma" w:hAnsi="Tahoma" w:cs="Tahoma"/>
          <w:color w:val="000000"/>
          <w:kern w:val="0"/>
          <w:lang w:eastAsia="pl-PL"/>
        </w:rPr>
        <w:t>.</w:t>
      </w:r>
    </w:p>
    <w:p w14:paraId="66ECE8E3" w14:textId="71C429A5" w:rsidR="001E6309" w:rsidRPr="001E630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</w:p>
    <w:p w14:paraId="0D7E8363" w14:textId="3831FB4E" w:rsidR="001E6309" w:rsidRPr="00A64DE9" w:rsidRDefault="001E6309" w:rsidP="001E6309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Pytanie nr 3</w:t>
      </w:r>
    </w:p>
    <w:p w14:paraId="247F2051" w14:textId="77777777" w:rsidR="00C134FF" w:rsidRPr="00C134FF" w:rsidRDefault="00C134FF" w:rsidP="00C134F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134FF">
        <w:rPr>
          <w:rFonts w:ascii="Tahoma" w:hAnsi="Tahoma" w:cs="Tahoma"/>
          <w:kern w:val="0"/>
          <w:lang w:eastAsia="pl-PL"/>
        </w:rPr>
        <w:t>Proszę o doprecyzowanie jeszcze jednej kwestii:</w:t>
      </w:r>
    </w:p>
    <w:p w14:paraId="3C077D46" w14:textId="5C099392" w:rsidR="00C134FF" w:rsidRPr="00C134FF" w:rsidRDefault="00C134FF" w:rsidP="00C134F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134FF">
        <w:rPr>
          <w:rFonts w:ascii="Tahoma" w:hAnsi="Tahoma" w:cs="Tahoma"/>
          <w:kern w:val="0"/>
          <w:lang w:eastAsia="pl-PL"/>
        </w:rPr>
        <w:t xml:space="preserve">Zgodnie z odpowiedziami na pytania z dnia 20.02.2023r.-pytanie 22-należałoby dokonać korekty krotności w poz. 28-krotność 4 -tak, aby warstwa podbudowy górnej asfaltowej wynosiła 8 cm </w:t>
      </w:r>
      <w:r>
        <w:rPr>
          <w:rFonts w:ascii="Tahoma" w:hAnsi="Tahoma" w:cs="Tahoma"/>
          <w:kern w:val="0"/>
          <w:lang w:eastAsia="pl-PL"/>
        </w:rPr>
        <w:br/>
      </w:r>
      <w:r w:rsidRPr="00C134FF">
        <w:rPr>
          <w:rFonts w:ascii="Tahoma" w:hAnsi="Tahoma" w:cs="Tahoma"/>
          <w:kern w:val="0"/>
          <w:lang w:eastAsia="pl-PL"/>
        </w:rPr>
        <w:t>w przedmiarze, natomiast wykonawca nie wie czego mają się tyczyć pozycje 25-26. Wg rysunku 8 pod nowym asfaltem nie ma takiej warstwy.</w:t>
      </w:r>
    </w:p>
    <w:p w14:paraId="5B7A5FA9" w14:textId="77777777" w:rsidR="00020D7C" w:rsidRDefault="00020D7C" w:rsidP="00C134F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</w:p>
    <w:p w14:paraId="1C35654B" w14:textId="53937849" w:rsidR="00C134FF" w:rsidRPr="00C134FF" w:rsidRDefault="00C134FF" w:rsidP="00C134F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134FF">
        <w:rPr>
          <w:rFonts w:ascii="Tahoma" w:hAnsi="Tahoma" w:cs="Tahoma"/>
          <w:kern w:val="0"/>
          <w:lang w:eastAsia="pl-PL"/>
        </w:rPr>
        <w:t>Natomiast w przypadku asfaltu na podbudowie istniejącej w przedmiarze robót nie ujęto pozycji dot. warstwy wyrównawczej z betonu asfaltowego gr. 3 cm-proszę o wskazanie metrażu jakiego dotyczy ułożenie tej warstwy. Czy poprawnym jest założenie, ze jest to 1233m2 (2200m2- 967m2 asfalt na nowej podbudowie)?</w:t>
      </w:r>
    </w:p>
    <w:p w14:paraId="477BB162" w14:textId="77777777" w:rsidR="00C134FF" w:rsidRPr="00C134FF" w:rsidRDefault="00C134FF" w:rsidP="00C134F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134FF">
        <w:rPr>
          <w:rFonts w:ascii="Tahoma" w:hAnsi="Tahoma" w:cs="Tahoma"/>
          <w:kern w:val="0"/>
          <w:lang w:eastAsia="pl-PL"/>
        </w:rPr>
        <w:t xml:space="preserve">Czy tego samego metrażu dotyczyłoby ułożenie siatki </w:t>
      </w:r>
      <w:proofErr w:type="spellStart"/>
      <w:r w:rsidRPr="00C134FF">
        <w:rPr>
          <w:rFonts w:ascii="Tahoma" w:hAnsi="Tahoma" w:cs="Tahoma"/>
          <w:kern w:val="0"/>
          <w:lang w:eastAsia="pl-PL"/>
        </w:rPr>
        <w:t>przeciwspękaniowej</w:t>
      </w:r>
      <w:proofErr w:type="spellEnd"/>
      <w:r w:rsidRPr="00C134FF">
        <w:rPr>
          <w:rFonts w:ascii="Tahoma" w:hAnsi="Tahoma" w:cs="Tahoma"/>
          <w:kern w:val="0"/>
          <w:lang w:eastAsia="pl-PL"/>
        </w:rPr>
        <w:t>?</w:t>
      </w:r>
    </w:p>
    <w:p w14:paraId="6D2E678A" w14:textId="17B070CE" w:rsidR="001E6309" w:rsidRPr="00A64DE9" w:rsidRDefault="001E6309" w:rsidP="00066591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Odpowiedź:</w:t>
      </w:r>
    </w:p>
    <w:p w14:paraId="1732DFD8" w14:textId="77777777" w:rsidR="00020D7C" w:rsidRPr="00A64DE9" w:rsidRDefault="00020D7C" w:rsidP="00020D7C">
      <w:pPr>
        <w:jc w:val="both"/>
        <w:rPr>
          <w:rFonts w:ascii="Tahoma" w:hAnsi="Tahoma" w:cs="Tahoma"/>
          <w:kern w:val="0"/>
          <w:lang w:eastAsia="pl-PL"/>
        </w:rPr>
      </w:pPr>
      <w:r w:rsidRPr="00A64DE9">
        <w:rPr>
          <w:rFonts w:ascii="Tahoma" w:hAnsi="Tahoma" w:cs="Tahoma"/>
          <w:kern w:val="0"/>
          <w:lang w:eastAsia="pl-PL"/>
        </w:rPr>
        <w:t xml:space="preserve">Proszę przyjąć wyliczenia do kosztorysu wg załączonego rys. nr 2a, na którym podano dokładny metraż powierzchni z poszczególnymi nawierzchniami i podbudowami istniejącymi i projektowanymi. Warstwy przyjąć wg PT. </w:t>
      </w:r>
    </w:p>
    <w:p w14:paraId="39AD39CF" w14:textId="3046CF0C" w:rsidR="00020994" w:rsidRPr="00A64DE9" w:rsidRDefault="00020994" w:rsidP="00020994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 xml:space="preserve">Pytanie nr </w:t>
      </w:r>
      <w:r w:rsidR="00020D7C"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4</w:t>
      </w:r>
    </w:p>
    <w:p w14:paraId="4446AE58" w14:textId="30B8F2B6" w:rsidR="00020994" w:rsidRPr="00020994" w:rsidRDefault="00020994" w:rsidP="00C134FF">
      <w:pPr>
        <w:jc w:val="both"/>
        <w:rPr>
          <w:rFonts w:ascii="Tahoma" w:hAnsi="Tahoma" w:cs="Tahoma"/>
          <w:b/>
          <w:bCs/>
          <w:u w:val="single"/>
        </w:rPr>
      </w:pPr>
      <w:r w:rsidRPr="00020994">
        <w:rPr>
          <w:rFonts w:ascii="Tahoma" w:hAnsi="Tahoma" w:cs="Tahoma"/>
        </w:rPr>
        <w:t>Na udostępnionym w dniu 20.02.2023r. rysunku 26 poprawa „Plac zabaw” oznaczone są 3 elementy symbolem K-brak opisu co to jest. Proszę o wyjaśnienie co to za elementy.</w:t>
      </w:r>
    </w:p>
    <w:p w14:paraId="30DB8D8C" w14:textId="77777777" w:rsidR="00020994" w:rsidRPr="00A64DE9" w:rsidRDefault="00020994" w:rsidP="00020994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Odpowiedź:</w:t>
      </w:r>
    </w:p>
    <w:p w14:paraId="6CBADC11" w14:textId="700EB4F3" w:rsidR="00020994" w:rsidRDefault="00B27FBE" w:rsidP="00C134FF">
      <w:pPr>
        <w:jc w:val="both"/>
        <w:rPr>
          <w:rFonts w:ascii="Tahoma" w:hAnsi="Tahoma" w:cs="Tahoma"/>
        </w:rPr>
      </w:pPr>
      <w:r w:rsidRPr="00B27FBE">
        <w:rPr>
          <w:rFonts w:ascii="Tahoma" w:hAnsi="Tahoma" w:cs="Tahoma"/>
        </w:rPr>
        <w:t xml:space="preserve">Symbolem K na rysunku 26 oznaczone są istniejące studnie kanalizacyjne. W wykonanej nawierzchni należy zapewnić możliwość dostępu do studni poprzez odpowiednie </w:t>
      </w:r>
      <w:proofErr w:type="spellStart"/>
      <w:r w:rsidRPr="00B27FBE">
        <w:rPr>
          <w:rFonts w:ascii="Tahoma" w:hAnsi="Tahoma" w:cs="Tahoma"/>
        </w:rPr>
        <w:t>oddylatowanie</w:t>
      </w:r>
      <w:proofErr w:type="spellEnd"/>
      <w:r w:rsidRPr="00B27FBE">
        <w:rPr>
          <w:rFonts w:ascii="Tahoma" w:hAnsi="Tahoma" w:cs="Tahoma"/>
        </w:rPr>
        <w:t xml:space="preserve"> włazów.</w:t>
      </w:r>
    </w:p>
    <w:p w14:paraId="6EEAB2D1" w14:textId="37B36207" w:rsidR="005A1C47" w:rsidRPr="00A64DE9" w:rsidRDefault="005A1C47" w:rsidP="005A1C4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 xml:space="preserve">Pytanie nr </w:t>
      </w:r>
      <w:r w:rsidR="00020D7C"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5</w:t>
      </w:r>
    </w:p>
    <w:p w14:paraId="5FBA6235" w14:textId="798AAE0A" w:rsidR="005A1C47" w:rsidRDefault="005A1C47" w:rsidP="005A1C4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Proszę o skorygowanie:</w:t>
      </w:r>
    </w:p>
    <w:p w14:paraId="5FB0AB1C" w14:textId="3715F08F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>Pytanie nr 8</w:t>
      </w:r>
    </w:p>
    <w:p w14:paraId="17A14A69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>Proszę o bliższe informacje dot. ogrodów wertykalnych. Konstrukcja. Sposób montażu. Rodzaj roślin.</w:t>
      </w:r>
    </w:p>
    <w:p w14:paraId="21B04D94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>Odpowiedź:</w:t>
      </w:r>
    </w:p>
    <w:p w14:paraId="334DAF9E" w14:textId="5902E545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>Należy wykonać jako typowe rozwiązanie, konstrukcja nośna ogrodów z kształtowników ze stali nierdzewnej lub aluminiowe. Można także zastosować ścianę betonową. Jako warstwa podkładowa należy zastosować płyty OSB-3, którą należy zaizolować przeciwwilgociowo.  Sadzenie roślin proponuje się w systemie filcowym, zamontowane na stalowej podkonstrukcji. Rośliny należy sadzić w pojedynczych kieszeniach z filcu, który spełnia funkcję podłoża dla roślin. Maty posiadają odpowiedni splot, który umożliwia przerost korzeni między włóknami.</w:t>
      </w:r>
    </w:p>
    <w:p w14:paraId="465720C2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 xml:space="preserve">Panele z roślinami proponuje się szerokości około 1,2-1,3m. </w:t>
      </w:r>
    </w:p>
    <w:p w14:paraId="17907C95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 xml:space="preserve">Pomiędzy fragmentami ścian ogrodu wertykalnego należy zastosować panele drewniane, szerokości 1,8-2,2m, zaimpregnowane </w:t>
      </w:r>
      <w:proofErr w:type="spellStart"/>
      <w:r w:rsidRPr="005A1C47">
        <w:rPr>
          <w:rFonts w:ascii="Tahoma" w:hAnsi="Tahoma" w:cs="Tahoma"/>
          <w:i/>
          <w:iCs/>
          <w:sz w:val="18"/>
          <w:szCs w:val="18"/>
        </w:rPr>
        <w:t>lakierobejcą</w:t>
      </w:r>
      <w:proofErr w:type="spellEnd"/>
      <w:r w:rsidRPr="005A1C47">
        <w:rPr>
          <w:rFonts w:ascii="Tahoma" w:hAnsi="Tahoma" w:cs="Tahoma"/>
          <w:i/>
          <w:iCs/>
          <w:sz w:val="18"/>
          <w:szCs w:val="18"/>
        </w:rPr>
        <w:t xml:space="preserve"> w kolorze piniowym.</w:t>
      </w:r>
    </w:p>
    <w:p w14:paraId="1D082C42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lastRenderedPageBreak/>
        <w:t>Wysokość paneli i ogrodów wertykalnych : 2,2m; długość ogrodu 25mb.</w:t>
      </w:r>
    </w:p>
    <w:p w14:paraId="5D96A86E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>Ze względu na niską wysokość ściany proponuje się system nawadniania manualny.</w:t>
      </w:r>
    </w:p>
    <w:p w14:paraId="77C87699" w14:textId="77777777" w:rsidR="005A1C47" w:rsidRPr="005A1C47" w:rsidRDefault="005A1C47" w:rsidP="005A1C47">
      <w:pPr>
        <w:jc w:val="both"/>
        <w:rPr>
          <w:rFonts w:ascii="Tahoma" w:hAnsi="Tahoma" w:cs="Tahoma"/>
          <w:i/>
          <w:iCs/>
          <w:sz w:val="18"/>
          <w:szCs w:val="18"/>
        </w:rPr>
      </w:pPr>
      <w:r w:rsidRPr="005A1C47">
        <w:rPr>
          <w:rFonts w:ascii="Tahoma" w:hAnsi="Tahoma" w:cs="Tahoma"/>
          <w:i/>
          <w:iCs/>
          <w:sz w:val="18"/>
          <w:szCs w:val="18"/>
        </w:rPr>
        <w:t xml:space="preserve">Na 1m2 powinno być zasadzone około 25-30 roślin. Przykładowe rośliny: pnącza np. figowiec, filodendron, </w:t>
      </w:r>
      <w:proofErr w:type="spellStart"/>
      <w:r w:rsidRPr="005A1C47">
        <w:rPr>
          <w:rFonts w:ascii="Tahoma" w:hAnsi="Tahoma" w:cs="Tahoma"/>
          <w:i/>
          <w:iCs/>
          <w:sz w:val="18"/>
          <w:szCs w:val="18"/>
        </w:rPr>
        <w:t>epipremnum</w:t>
      </w:r>
      <w:proofErr w:type="spellEnd"/>
      <w:r w:rsidRPr="005A1C47">
        <w:rPr>
          <w:rFonts w:ascii="Tahoma" w:hAnsi="Tahoma" w:cs="Tahoma"/>
          <w:i/>
          <w:iCs/>
          <w:sz w:val="18"/>
          <w:szCs w:val="18"/>
        </w:rPr>
        <w:t>, cissus, fikus, dracena, paprocie, rośliny kwitnące (</w:t>
      </w:r>
      <w:proofErr w:type="spellStart"/>
      <w:r w:rsidRPr="005A1C47">
        <w:rPr>
          <w:rFonts w:ascii="Tahoma" w:hAnsi="Tahoma" w:cs="Tahoma"/>
          <w:i/>
          <w:iCs/>
          <w:sz w:val="18"/>
          <w:szCs w:val="18"/>
        </w:rPr>
        <w:t>frizea</w:t>
      </w:r>
      <w:proofErr w:type="spellEnd"/>
      <w:r w:rsidRPr="005A1C47">
        <w:rPr>
          <w:rFonts w:ascii="Tahoma" w:hAnsi="Tahoma" w:cs="Tahoma"/>
          <w:i/>
          <w:iCs/>
          <w:sz w:val="18"/>
          <w:szCs w:val="18"/>
        </w:rPr>
        <w:t xml:space="preserve">, </w:t>
      </w:r>
      <w:proofErr w:type="spellStart"/>
      <w:r w:rsidRPr="005A1C47">
        <w:rPr>
          <w:rFonts w:ascii="Tahoma" w:hAnsi="Tahoma" w:cs="Tahoma"/>
          <w:i/>
          <w:iCs/>
          <w:sz w:val="18"/>
          <w:szCs w:val="18"/>
        </w:rPr>
        <w:t>guzmania</w:t>
      </w:r>
      <w:proofErr w:type="spellEnd"/>
      <w:r w:rsidRPr="005A1C47">
        <w:rPr>
          <w:rFonts w:ascii="Tahoma" w:hAnsi="Tahoma" w:cs="Tahoma"/>
          <w:i/>
          <w:iCs/>
          <w:sz w:val="18"/>
          <w:szCs w:val="18"/>
        </w:rPr>
        <w:t>, storczyki), skrzydłokwiat itp.”</w:t>
      </w:r>
    </w:p>
    <w:p w14:paraId="607AC856" w14:textId="77777777" w:rsidR="005A1C47" w:rsidRPr="005A1C47" w:rsidRDefault="005A1C47" w:rsidP="005A1C47">
      <w:pPr>
        <w:jc w:val="both"/>
        <w:rPr>
          <w:rFonts w:ascii="Tahoma" w:hAnsi="Tahoma" w:cs="Tahoma"/>
        </w:rPr>
      </w:pPr>
    </w:p>
    <w:p w14:paraId="616475B7" w14:textId="77777777" w:rsidR="005A1C47" w:rsidRPr="005A1C47" w:rsidRDefault="005A1C47" w:rsidP="005A1C47">
      <w:pPr>
        <w:jc w:val="both"/>
        <w:rPr>
          <w:rFonts w:ascii="Tahoma" w:hAnsi="Tahoma" w:cs="Tahoma"/>
        </w:rPr>
      </w:pPr>
      <w:r w:rsidRPr="005A1C47">
        <w:rPr>
          <w:rFonts w:ascii="Tahoma" w:hAnsi="Tahoma" w:cs="Tahoma"/>
        </w:rPr>
        <w:t xml:space="preserve">Rośliny które podano jako przykładowe, tj. figowiec, filodendron, </w:t>
      </w:r>
      <w:proofErr w:type="spellStart"/>
      <w:r w:rsidRPr="005A1C47">
        <w:rPr>
          <w:rFonts w:ascii="Tahoma" w:hAnsi="Tahoma" w:cs="Tahoma"/>
        </w:rPr>
        <w:t>epipremnum</w:t>
      </w:r>
      <w:proofErr w:type="spellEnd"/>
      <w:r w:rsidRPr="005A1C47">
        <w:rPr>
          <w:rFonts w:ascii="Tahoma" w:hAnsi="Tahoma" w:cs="Tahoma"/>
        </w:rPr>
        <w:t>, cissus, fikus, dracena, paprocie, rośliny kwitnące (</w:t>
      </w:r>
      <w:proofErr w:type="spellStart"/>
      <w:r w:rsidRPr="005A1C47">
        <w:rPr>
          <w:rFonts w:ascii="Tahoma" w:hAnsi="Tahoma" w:cs="Tahoma"/>
        </w:rPr>
        <w:t>frizea</w:t>
      </w:r>
      <w:proofErr w:type="spellEnd"/>
      <w:r w:rsidRPr="005A1C47">
        <w:rPr>
          <w:rFonts w:ascii="Tahoma" w:hAnsi="Tahoma" w:cs="Tahoma"/>
        </w:rPr>
        <w:t xml:space="preserve">, </w:t>
      </w:r>
      <w:proofErr w:type="spellStart"/>
      <w:r w:rsidRPr="005A1C47">
        <w:rPr>
          <w:rFonts w:ascii="Tahoma" w:hAnsi="Tahoma" w:cs="Tahoma"/>
        </w:rPr>
        <w:t>guzmania</w:t>
      </w:r>
      <w:proofErr w:type="spellEnd"/>
      <w:r w:rsidRPr="005A1C47">
        <w:rPr>
          <w:rFonts w:ascii="Tahoma" w:hAnsi="Tahoma" w:cs="Tahoma"/>
        </w:rPr>
        <w:t>, storczyki), skrzydłokwiat, nie nadają się do umieszczenia ich na zewnątrz, są to gatunki możliwe do zastosowania przy ogrodach wertykalnych wewnątrz budynków.</w:t>
      </w:r>
    </w:p>
    <w:p w14:paraId="6604CB97" w14:textId="77777777" w:rsidR="005A1C47" w:rsidRPr="005A1C47" w:rsidRDefault="005A1C47" w:rsidP="005A1C47">
      <w:pPr>
        <w:jc w:val="both"/>
        <w:rPr>
          <w:rFonts w:ascii="Tahoma" w:hAnsi="Tahoma" w:cs="Tahoma"/>
        </w:rPr>
      </w:pPr>
    </w:p>
    <w:p w14:paraId="61033F16" w14:textId="77777777" w:rsidR="005A1C47" w:rsidRPr="005A1C47" w:rsidRDefault="005A1C47" w:rsidP="005A1C47">
      <w:pPr>
        <w:jc w:val="both"/>
        <w:rPr>
          <w:rFonts w:ascii="Tahoma" w:hAnsi="Tahoma" w:cs="Tahoma"/>
        </w:rPr>
      </w:pPr>
      <w:r w:rsidRPr="005A1C47">
        <w:rPr>
          <w:rFonts w:ascii="Tahoma" w:hAnsi="Tahoma" w:cs="Tahoma"/>
        </w:rPr>
        <w:t xml:space="preserve">Ponadto informujemy, że wybór gatunków roślin uzależniony jest przede wszystkim od warunków środowiskowych, tj. odporności na mróz, zimne wiatry oraz nasłonecznienie. </w:t>
      </w:r>
    </w:p>
    <w:p w14:paraId="54982A06" w14:textId="77777777" w:rsidR="005A1C47" w:rsidRPr="005A1C47" w:rsidRDefault="005A1C47" w:rsidP="005A1C47">
      <w:pPr>
        <w:jc w:val="both"/>
        <w:rPr>
          <w:rFonts w:ascii="Tahoma" w:hAnsi="Tahoma" w:cs="Tahoma"/>
        </w:rPr>
      </w:pPr>
    </w:p>
    <w:p w14:paraId="6C910BC2" w14:textId="77777777" w:rsidR="005A1C47" w:rsidRPr="005A1C47" w:rsidRDefault="005A1C47" w:rsidP="005A1C47">
      <w:pPr>
        <w:jc w:val="both"/>
        <w:rPr>
          <w:rFonts w:ascii="Tahoma" w:hAnsi="Tahoma" w:cs="Tahoma"/>
        </w:rPr>
      </w:pPr>
      <w:r w:rsidRPr="005A1C47">
        <w:rPr>
          <w:rFonts w:ascii="Tahoma" w:hAnsi="Tahoma" w:cs="Tahoma"/>
        </w:rPr>
        <w:t xml:space="preserve">Odpowiednie na zewnątrz są różnego rodzaju byliny, wszelkie odmiany traw, jak również drobne krzewy. Mogą to być np. dąbrówka, barwinek, </w:t>
      </w:r>
      <w:proofErr w:type="spellStart"/>
      <w:r w:rsidRPr="005A1C47">
        <w:rPr>
          <w:rFonts w:ascii="Tahoma" w:hAnsi="Tahoma" w:cs="Tahoma"/>
        </w:rPr>
        <w:t>gryczomlecz</w:t>
      </w:r>
      <w:proofErr w:type="spellEnd"/>
      <w:r w:rsidRPr="005A1C47">
        <w:rPr>
          <w:rFonts w:ascii="Tahoma" w:hAnsi="Tahoma" w:cs="Tahoma"/>
        </w:rPr>
        <w:t xml:space="preserve">, </w:t>
      </w:r>
      <w:proofErr w:type="spellStart"/>
      <w:r w:rsidRPr="005A1C47">
        <w:rPr>
          <w:rFonts w:ascii="Tahoma" w:hAnsi="Tahoma" w:cs="Tahoma"/>
        </w:rPr>
        <w:t>rumianka</w:t>
      </w:r>
      <w:proofErr w:type="spellEnd"/>
      <w:r w:rsidRPr="005A1C47">
        <w:rPr>
          <w:rFonts w:ascii="Tahoma" w:hAnsi="Tahoma" w:cs="Tahoma"/>
        </w:rPr>
        <w:t xml:space="preserve"> czy </w:t>
      </w:r>
      <w:proofErr w:type="spellStart"/>
      <w:r w:rsidRPr="005A1C47">
        <w:rPr>
          <w:rFonts w:ascii="Tahoma" w:hAnsi="Tahoma" w:cs="Tahoma"/>
        </w:rPr>
        <w:t>żurawka</w:t>
      </w:r>
      <w:proofErr w:type="spellEnd"/>
      <w:r w:rsidRPr="005A1C47">
        <w:rPr>
          <w:rFonts w:ascii="Tahoma" w:hAnsi="Tahoma" w:cs="Tahoma"/>
        </w:rPr>
        <w:t>, zakładając że spełniają wymogi warunków środowiskowych podanych wyżej.</w:t>
      </w:r>
    </w:p>
    <w:p w14:paraId="137CFAAE" w14:textId="77777777" w:rsidR="005A1C47" w:rsidRPr="005A1C47" w:rsidRDefault="005A1C47" w:rsidP="005A1C47">
      <w:pPr>
        <w:jc w:val="both"/>
        <w:rPr>
          <w:rFonts w:ascii="Tahoma" w:hAnsi="Tahoma" w:cs="Tahoma"/>
        </w:rPr>
      </w:pPr>
    </w:p>
    <w:p w14:paraId="3AA65CEE" w14:textId="3CA99996" w:rsidR="005A1C47" w:rsidRDefault="005A1C47" w:rsidP="005A1C47">
      <w:pPr>
        <w:jc w:val="both"/>
        <w:rPr>
          <w:rFonts w:ascii="Tahoma" w:hAnsi="Tahoma" w:cs="Tahoma"/>
        </w:rPr>
      </w:pPr>
      <w:r w:rsidRPr="005A1C47">
        <w:rPr>
          <w:rFonts w:ascii="Tahoma" w:hAnsi="Tahoma" w:cs="Tahoma"/>
        </w:rPr>
        <w:t>Biorąc pod uwagę powyższe, zwracamy się z prośbą o korektę zakresu roślin do zasadzenia w ogrodzie wertykalnym.</w:t>
      </w:r>
    </w:p>
    <w:p w14:paraId="589FB894" w14:textId="77777777" w:rsidR="005A1C47" w:rsidRPr="00A64DE9" w:rsidRDefault="005A1C47" w:rsidP="005A1C47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Odpowiedź:</w:t>
      </w:r>
    </w:p>
    <w:p w14:paraId="2166D9CE" w14:textId="77777777" w:rsidR="00101C45" w:rsidRPr="00101C45" w:rsidRDefault="00101C45" w:rsidP="00101C45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01C45">
        <w:rPr>
          <w:rFonts w:ascii="Tahoma" w:hAnsi="Tahoma" w:cs="Tahoma"/>
          <w:kern w:val="0"/>
          <w:lang w:eastAsia="pl-PL"/>
        </w:rPr>
        <w:t>W odpowiedzi na pytanie nr 8 pomyłkowo wskazano rośliny do ogrodu wertykalnego. </w:t>
      </w:r>
    </w:p>
    <w:p w14:paraId="01BE685D" w14:textId="69FF7CB1" w:rsidR="00101C45" w:rsidRPr="00101C45" w:rsidRDefault="00101C45" w:rsidP="00101C45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01C45">
        <w:rPr>
          <w:rFonts w:ascii="Tahoma" w:hAnsi="Tahoma" w:cs="Tahoma"/>
          <w:kern w:val="0"/>
          <w:lang w:eastAsia="pl-PL"/>
        </w:rPr>
        <w:t xml:space="preserve">Proszę przyjąć: trawy różnego rodzaju np. </w:t>
      </w:r>
      <w:proofErr w:type="spellStart"/>
      <w:r w:rsidRPr="00101C45">
        <w:rPr>
          <w:rFonts w:ascii="Tahoma" w:hAnsi="Tahoma" w:cs="Tahoma"/>
          <w:kern w:val="0"/>
          <w:lang w:eastAsia="pl-PL"/>
        </w:rPr>
        <w:t>konwalnik</w:t>
      </w:r>
      <w:proofErr w:type="spellEnd"/>
      <w:r>
        <w:rPr>
          <w:rFonts w:ascii="Tahoma" w:hAnsi="Tahoma" w:cs="Tahoma"/>
          <w:kern w:val="0"/>
          <w:lang w:eastAsia="pl-PL"/>
        </w:rPr>
        <w:t>,</w:t>
      </w:r>
      <w:r w:rsidRPr="00101C45">
        <w:rPr>
          <w:rFonts w:ascii="Tahoma" w:hAnsi="Tahoma" w:cs="Tahoma"/>
          <w:kern w:val="0"/>
          <w:lang w:eastAsia="pl-PL"/>
        </w:rPr>
        <w:t xml:space="preserve"> </w:t>
      </w:r>
      <w:proofErr w:type="spellStart"/>
      <w:r w:rsidRPr="00101C45">
        <w:rPr>
          <w:rFonts w:ascii="Tahoma" w:hAnsi="Tahoma" w:cs="Tahoma"/>
          <w:kern w:val="0"/>
          <w:lang w:eastAsia="pl-PL"/>
        </w:rPr>
        <w:t>hakonechloa</w:t>
      </w:r>
      <w:proofErr w:type="spellEnd"/>
      <w:r w:rsidRPr="00101C45">
        <w:rPr>
          <w:rFonts w:ascii="Tahoma" w:hAnsi="Tahoma" w:cs="Tahoma"/>
          <w:kern w:val="0"/>
          <w:lang w:eastAsia="pl-PL"/>
        </w:rPr>
        <w:t xml:space="preserve">, aureola, </w:t>
      </w:r>
      <w:proofErr w:type="spellStart"/>
      <w:r w:rsidRPr="00101C45">
        <w:rPr>
          <w:rFonts w:ascii="Tahoma" w:hAnsi="Tahoma" w:cs="Tahoma"/>
          <w:kern w:val="0"/>
          <w:lang w:eastAsia="pl-PL"/>
        </w:rPr>
        <w:t>żurawki</w:t>
      </w:r>
      <w:proofErr w:type="spellEnd"/>
      <w:r w:rsidRPr="00101C45">
        <w:rPr>
          <w:rFonts w:ascii="Tahoma" w:hAnsi="Tahoma" w:cs="Tahoma"/>
          <w:kern w:val="0"/>
          <w:lang w:eastAsia="pl-PL"/>
        </w:rPr>
        <w:t xml:space="preserve"> różnego rodzaju oraz byliny typu jeżówka purpurowa, </w:t>
      </w:r>
      <w:proofErr w:type="spellStart"/>
      <w:r w:rsidRPr="00101C45">
        <w:rPr>
          <w:rFonts w:ascii="Tahoma" w:hAnsi="Tahoma" w:cs="Tahoma"/>
          <w:kern w:val="0"/>
          <w:lang w:eastAsia="pl-PL"/>
        </w:rPr>
        <w:t>gailardia</w:t>
      </w:r>
      <w:proofErr w:type="spellEnd"/>
      <w:r w:rsidRPr="00101C45">
        <w:rPr>
          <w:rFonts w:ascii="Tahoma" w:hAnsi="Tahoma" w:cs="Tahoma"/>
          <w:kern w:val="0"/>
          <w:lang w:eastAsia="pl-PL"/>
        </w:rPr>
        <w:t xml:space="preserve"> oścista, </w:t>
      </w:r>
      <w:proofErr w:type="spellStart"/>
      <w:r w:rsidRPr="00101C45">
        <w:rPr>
          <w:rFonts w:ascii="Tahoma" w:hAnsi="Tahoma" w:cs="Tahoma"/>
          <w:kern w:val="0"/>
          <w:lang w:eastAsia="pl-PL"/>
        </w:rPr>
        <w:t>nachyłek</w:t>
      </w:r>
      <w:proofErr w:type="spellEnd"/>
      <w:r w:rsidRPr="00101C45">
        <w:rPr>
          <w:rFonts w:ascii="Tahoma" w:hAnsi="Tahoma" w:cs="Tahoma"/>
          <w:kern w:val="0"/>
          <w:lang w:eastAsia="pl-PL"/>
        </w:rPr>
        <w:t>.</w:t>
      </w:r>
    </w:p>
    <w:p w14:paraId="50E0BC2C" w14:textId="77777777" w:rsidR="005A1C47" w:rsidRDefault="005A1C47" w:rsidP="00C134FF">
      <w:pPr>
        <w:jc w:val="both"/>
        <w:rPr>
          <w:rFonts w:ascii="Tahoma" w:hAnsi="Tahoma" w:cs="Tahoma"/>
          <w:b/>
          <w:bCs/>
          <w:u w:val="single"/>
        </w:rPr>
      </w:pPr>
    </w:p>
    <w:p w14:paraId="7A344E2F" w14:textId="47FC8A61" w:rsidR="00C62B95" w:rsidRPr="00A64DE9" w:rsidRDefault="00C62B95" w:rsidP="00C62B95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 xml:space="preserve">Pytanie nr </w:t>
      </w:r>
      <w:r w:rsidR="00A64DE9"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6</w:t>
      </w:r>
    </w:p>
    <w:p w14:paraId="6EEBFDD7" w14:textId="2EFF769B" w:rsidR="00C62B95" w:rsidRPr="00C62B95" w:rsidRDefault="00C62B95" w:rsidP="00C62B95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en-US"/>
        </w:rPr>
      </w:pPr>
      <w:r w:rsidRPr="00C62B95">
        <w:rPr>
          <w:rFonts w:ascii="Tahoma" w:hAnsi="Tahoma" w:cs="Tahoma"/>
          <w:kern w:val="0"/>
          <w:lang w:eastAsia="en-US"/>
        </w:rPr>
        <w:t xml:space="preserve">W związku z udzieleniem odpowiedzi na pytanie nr 2 dot. wykonania parkingu P1- wnosimy </w:t>
      </w:r>
      <w:r>
        <w:rPr>
          <w:rFonts w:ascii="Tahoma" w:hAnsi="Tahoma" w:cs="Tahoma"/>
          <w:kern w:val="0"/>
          <w:lang w:eastAsia="en-US"/>
        </w:rPr>
        <w:br/>
      </w:r>
      <w:r w:rsidRPr="00C62B95">
        <w:rPr>
          <w:rFonts w:ascii="Tahoma" w:hAnsi="Tahoma" w:cs="Tahoma"/>
          <w:kern w:val="0"/>
          <w:lang w:eastAsia="en-US"/>
        </w:rPr>
        <w:t>o wykreślenie tego parkingu z zakresu prac do wykonania wskazanych w SIWZ.</w:t>
      </w:r>
    </w:p>
    <w:p w14:paraId="4A9E1E5B" w14:textId="77777777" w:rsidR="00C62B95" w:rsidRPr="00A64DE9" w:rsidRDefault="00C62B95" w:rsidP="00C62B95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en-US"/>
        </w:rPr>
      </w:pPr>
      <w:r w:rsidRPr="00A64DE9">
        <w:rPr>
          <w:rFonts w:ascii="Tahoma" w:hAnsi="Tahoma" w:cs="Tahoma"/>
          <w:b/>
          <w:bCs/>
          <w:kern w:val="0"/>
          <w:sz w:val="24"/>
          <w:szCs w:val="24"/>
          <w:lang w:eastAsia="en-US"/>
        </w:rPr>
        <w:t>Odpowiedź:</w:t>
      </w:r>
    </w:p>
    <w:p w14:paraId="178A6CD4" w14:textId="77777777" w:rsidR="00020D7C" w:rsidRPr="00A64DE9" w:rsidRDefault="00020D7C" w:rsidP="00020D7C">
      <w:pPr>
        <w:jc w:val="both"/>
        <w:rPr>
          <w:rFonts w:ascii="Tahoma" w:hAnsi="Tahoma" w:cs="Tahoma"/>
          <w:kern w:val="3"/>
          <w:lang w:eastAsia="pl-PL"/>
        </w:rPr>
      </w:pPr>
      <w:r w:rsidRPr="00A64DE9">
        <w:rPr>
          <w:rFonts w:ascii="Tahoma" w:hAnsi="Tahoma" w:cs="Tahoma"/>
          <w:lang w:eastAsia="pl-PL"/>
        </w:rPr>
        <w:t>Parking P1 wchodzi w zakres opracowania oprócz robót dotyczących ułożenia kostki betonowej, krawężników, obrzeży oraz podbudowy pod kostką. Pozostałe roboty należy wykonać tj. między innymi: mury oporowe z robotami ziemnymi, schody, balustrady, zasypanie wykopów przy murach oporowych, kanalizacja deszczowa, oświetlenie terenu.</w:t>
      </w:r>
    </w:p>
    <w:p w14:paraId="347DCEDE" w14:textId="77777777" w:rsidR="00020D7C" w:rsidRPr="00A64DE9" w:rsidRDefault="00020D7C" w:rsidP="00020D7C">
      <w:pPr>
        <w:jc w:val="both"/>
        <w:rPr>
          <w:rFonts w:ascii="Tahoma" w:hAnsi="Tahoma" w:cs="Tahoma"/>
          <w:lang w:eastAsia="pl-PL"/>
        </w:rPr>
      </w:pPr>
    </w:p>
    <w:p w14:paraId="5975E9EC" w14:textId="77777777" w:rsidR="00020D7C" w:rsidRPr="00A64DE9" w:rsidRDefault="00020D7C" w:rsidP="00020D7C">
      <w:pPr>
        <w:jc w:val="both"/>
        <w:rPr>
          <w:rFonts w:ascii="Tahoma" w:hAnsi="Tahoma" w:cs="Tahoma"/>
          <w:b/>
          <w:bCs/>
          <w:lang w:eastAsia="pl-PL"/>
        </w:rPr>
      </w:pPr>
      <w:r w:rsidRPr="00A64DE9">
        <w:rPr>
          <w:rFonts w:ascii="Tahoma" w:hAnsi="Tahoma" w:cs="Tahoma"/>
          <w:b/>
          <w:bCs/>
          <w:lang w:eastAsia="pl-PL"/>
        </w:rPr>
        <w:t>UWAGA</w:t>
      </w:r>
    </w:p>
    <w:p w14:paraId="1B9BE352" w14:textId="77777777" w:rsidR="00020D7C" w:rsidRPr="00A64DE9" w:rsidRDefault="00020D7C" w:rsidP="00020D7C">
      <w:pPr>
        <w:jc w:val="both"/>
        <w:rPr>
          <w:rFonts w:ascii="Tahoma" w:hAnsi="Tahoma" w:cs="Tahoma"/>
          <w:sz w:val="22"/>
          <w:szCs w:val="22"/>
          <w:lang w:eastAsia="en-US"/>
        </w:rPr>
      </w:pPr>
      <w:r w:rsidRPr="00A64DE9">
        <w:rPr>
          <w:rFonts w:ascii="Tahoma" w:hAnsi="Tahoma" w:cs="Tahoma"/>
          <w:lang w:eastAsia="pl-PL"/>
        </w:rPr>
        <w:t>Zamawiający udostępnia ponadto skorygowany projekt techniczny instalacji elektrycznych w którym zaznaczono linię energetyczną do zasilania totemów YKY 5x2,5mm</w:t>
      </w:r>
      <w:r w:rsidRPr="00A64DE9">
        <w:rPr>
          <w:rFonts w:ascii="Tahoma" w:hAnsi="Tahoma" w:cs="Tahoma"/>
          <w:vertAlign w:val="superscript"/>
          <w:lang w:eastAsia="pl-PL"/>
        </w:rPr>
        <w:t xml:space="preserve">2 </w:t>
      </w:r>
      <w:r w:rsidRPr="00A64DE9">
        <w:rPr>
          <w:rFonts w:ascii="Tahoma" w:hAnsi="Tahoma" w:cs="Tahoma"/>
          <w:lang w:eastAsia="pl-PL"/>
        </w:rPr>
        <w:t xml:space="preserve">o długości 100,0 m, skorygowano schemat ideowy rozdzielnicy RO w zakresie nowej linii zasilającej totemy. </w:t>
      </w:r>
    </w:p>
    <w:p w14:paraId="466C796F" w14:textId="77777777" w:rsidR="00020D7C" w:rsidRPr="00A64DE9" w:rsidRDefault="00020D7C" w:rsidP="00020D7C">
      <w:pPr>
        <w:jc w:val="both"/>
        <w:rPr>
          <w:rFonts w:ascii="Tahoma" w:hAnsi="Tahoma" w:cs="Tahoma"/>
          <w:lang w:eastAsia="pl-PL"/>
        </w:rPr>
      </w:pPr>
      <w:r w:rsidRPr="00A64DE9">
        <w:rPr>
          <w:rFonts w:ascii="Tahoma" w:hAnsi="Tahoma" w:cs="Tahoma"/>
          <w:lang w:eastAsia="pl-PL"/>
        </w:rPr>
        <w:t>W projekcie technicznym instalacji elektrycznej projektant błędnie użył słowa tandem zamiast totem.</w:t>
      </w:r>
    </w:p>
    <w:p w14:paraId="6ED9FDE9" w14:textId="77777777" w:rsidR="00C62B95" w:rsidRDefault="00C62B95" w:rsidP="00C134FF">
      <w:pPr>
        <w:jc w:val="both"/>
        <w:rPr>
          <w:rFonts w:ascii="Tahoma" w:hAnsi="Tahoma" w:cs="Tahoma"/>
          <w:b/>
          <w:bCs/>
          <w:u w:val="single"/>
        </w:rPr>
      </w:pPr>
    </w:p>
    <w:p w14:paraId="52C3AEDA" w14:textId="77777777" w:rsidR="00C62B95" w:rsidRDefault="00C62B95" w:rsidP="00C134FF">
      <w:pPr>
        <w:jc w:val="both"/>
        <w:rPr>
          <w:rFonts w:ascii="Tahoma" w:hAnsi="Tahoma" w:cs="Tahoma"/>
          <w:b/>
          <w:bCs/>
          <w:u w:val="single"/>
        </w:rPr>
      </w:pPr>
    </w:p>
    <w:p w14:paraId="5BC8F16C" w14:textId="3BEEC9E2" w:rsidR="00C134FF" w:rsidRPr="009934B1" w:rsidRDefault="00C134FF" w:rsidP="00C134FF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9934B1">
        <w:rPr>
          <w:rFonts w:ascii="Tahoma" w:hAnsi="Tahoma" w:cs="Tahoma"/>
          <w:b/>
          <w:bCs/>
          <w:sz w:val="24"/>
          <w:szCs w:val="24"/>
        </w:rPr>
        <w:t>Zmiany dotyczące SWZ</w:t>
      </w:r>
    </w:p>
    <w:p w14:paraId="47DF8B07" w14:textId="77777777" w:rsidR="00C134FF" w:rsidRPr="00C134FF" w:rsidRDefault="00C134FF" w:rsidP="00C134FF">
      <w:pPr>
        <w:jc w:val="both"/>
        <w:rPr>
          <w:rFonts w:ascii="Tahoma" w:hAnsi="Tahoma" w:cs="Tahoma"/>
        </w:rPr>
      </w:pPr>
    </w:p>
    <w:p w14:paraId="69EB85CE" w14:textId="77777777" w:rsidR="00123757" w:rsidRPr="00995280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0B793151" w14:textId="0B73E648" w:rsidR="00123757" w:rsidRDefault="00123757" w:rsidP="00123757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A64DE9">
        <w:rPr>
          <w:rFonts w:ascii="Tahoma" w:hAnsi="Tahoma" w:cs="Tahoma"/>
        </w:rPr>
        <w:t>29</w:t>
      </w:r>
      <w:r w:rsidRPr="00995280">
        <w:rPr>
          <w:rFonts w:ascii="Tahoma" w:hAnsi="Tahoma" w:cs="Tahoma"/>
        </w:rPr>
        <w:t>.0</w:t>
      </w:r>
      <w:r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.202</w:t>
      </w:r>
      <w:r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2C95AEDE" w14:textId="77777777" w:rsidR="00123757" w:rsidRPr="00995280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05624F3F" w14:textId="77777777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2786DA23" w14:textId="03AA09AC" w:rsidR="00123757" w:rsidRPr="00995280" w:rsidRDefault="00123757" w:rsidP="00123757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Pr="00995280">
        <w:rPr>
          <w:rFonts w:ascii="Tahoma" w:hAnsi="Tahoma" w:cs="Tahoma"/>
        </w:rPr>
        <w:t xml:space="preserve">do dnia </w:t>
      </w:r>
      <w:r w:rsidR="00A64DE9">
        <w:rPr>
          <w:rFonts w:ascii="Tahoma" w:hAnsi="Tahoma" w:cs="Tahoma"/>
          <w:b/>
        </w:rPr>
        <w:t>28</w:t>
      </w:r>
      <w:r w:rsidRPr="00995280">
        <w:rPr>
          <w:rFonts w:ascii="Tahoma" w:hAnsi="Tahoma" w:cs="Tahoma"/>
          <w:b/>
        </w:rPr>
        <w:t>.0</w:t>
      </w:r>
      <w:r w:rsidR="00A64DE9">
        <w:rPr>
          <w:rFonts w:ascii="Tahoma" w:hAnsi="Tahoma" w:cs="Tahoma"/>
          <w:b/>
        </w:rPr>
        <w:t>2</w:t>
      </w:r>
      <w:r w:rsidRPr="00995280">
        <w:rPr>
          <w:rFonts w:ascii="Tahoma" w:hAnsi="Tahoma" w:cs="Tahoma"/>
          <w:b/>
        </w:rPr>
        <w:t>.202</w:t>
      </w:r>
      <w:r>
        <w:rPr>
          <w:rFonts w:ascii="Tahoma" w:hAnsi="Tahoma" w:cs="Tahoma"/>
          <w:b/>
        </w:rPr>
        <w:t>3</w:t>
      </w:r>
      <w:r w:rsidRPr="00995280">
        <w:rPr>
          <w:rFonts w:ascii="Tahoma" w:hAnsi="Tahoma" w:cs="Tahoma"/>
          <w:b/>
        </w:rPr>
        <w:t>r</w:t>
      </w:r>
      <w:r w:rsidRPr="00995280">
        <w:rPr>
          <w:rFonts w:ascii="Tahoma" w:hAnsi="Tahoma" w:cs="Tahoma"/>
        </w:rPr>
        <w:t xml:space="preserve">. </w:t>
      </w:r>
      <w:r w:rsidRPr="00995280">
        <w:rPr>
          <w:rFonts w:ascii="Tahoma" w:hAnsi="Tahoma" w:cs="Tahoma"/>
          <w:b/>
          <w:bCs/>
        </w:rPr>
        <w:t>do godziny</w:t>
      </w:r>
      <w:r w:rsidRPr="00995280">
        <w:rPr>
          <w:rFonts w:ascii="Tahoma" w:hAnsi="Tahoma" w:cs="Tahoma"/>
        </w:rPr>
        <w:t xml:space="preserve"> </w:t>
      </w:r>
      <w:r w:rsidRPr="00995280">
        <w:rPr>
          <w:rFonts w:ascii="Tahoma" w:hAnsi="Tahoma" w:cs="Tahoma"/>
          <w:b/>
        </w:rPr>
        <w:t>10:00</w:t>
      </w:r>
      <w:r w:rsidRPr="009952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>
        <w:rPr>
          <w:rFonts w:ascii="Tahoma" w:hAnsi="Tahoma" w:cs="Tahoma"/>
        </w:rPr>
        <w:t xml:space="preserve">j </w:t>
      </w:r>
      <w:hyperlink r:id="rId8" w:history="1">
        <w:r w:rsidR="006024EB" w:rsidRPr="00D13FF7">
          <w:rPr>
            <w:rStyle w:val="Hipercze"/>
            <w:rFonts w:ascii="Tahoma" w:hAnsi="Tahoma" w:cs="Tahoma"/>
          </w:rPr>
          <w:t>https://mszana.logintrade.net/zapytania_email,116956,ab36d0ab2bf76698bc936a7f0be7fd9d.html</w:t>
        </w:r>
      </w:hyperlink>
    </w:p>
    <w:p w14:paraId="7B6B37AB" w14:textId="77777777" w:rsidR="00123757" w:rsidRPr="00995280" w:rsidRDefault="00123757" w:rsidP="00123757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73C16D85" w14:textId="77777777" w:rsidR="009934B1" w:rsidRDefault="009934B1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</w:p>
    <w:p w14:paraId="5BA637CA" w14:textId="77777777" w:rsidR="009934B1" w:rsidRDefault="009934B1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</w:p>
    <w:p w14:paraId="5B439BD9" w14:textId="5E938019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BBEB012" w14:textId="3DC9C65E" w:rsidR="00123757" w:rsidRDefault="00123757" w:rsidP="00123757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A64DE9">
        <w:rPr>
          <w:rFonts w:ascii="Tahoma" w:hAnsi="Tahoma" w:cs="Tahoma"/>
          <w:b/>
          <w:bCs/>
        </w:rPr>
        <w:t>28</w:t>
      </w:r>
      <w:r w:rsidRPr="00995280">
        <w:rPr>
          <w:rFonts w:ascii="Tahoma" w:hAnsi="Tahoma" w:cs="Tahoma"/>
          <w:b/>
          <w:bCs/>
        </w:rPr>
        <w:t>.0</w:t>
      </w:r>
      <w:r w:rsidR="00A64DE9">
        <w:rPr>
          <w:rFonts w:ascii="Tahoma" w:hAnsi="Tahoma" w:cs="Tahoma"/>
          <w:b/>
          <w:bCs/>
        </w:rPr>
        <w:t>2</w:t>
      </w:r>
      <w:r w:rsidRPr="00995280">
        <w:rPr>
          <w:rFonts w:ascii="Tahoma" w:hAnsi="Tahoma" w:cs="Tahoma"/>
          <w:b/>
          <w:bCs/>
        </w:rPr>
        <w:t>.202</w:t>
      </w:r>
      <w:r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D756D04" w14:textId="77777777" w:rsidR="00123757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internetowej prowadzonego postępowania.</w:t>
      </w:r>
    </w:p>
    <w:p w14:paraId="4CE4216C" w14:textId="5C59159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  <w:r w:rsidR="00A64DE9">
        <w:rPr>
          <w:rFonts w:ascii="Tahoma" w:hAnsi="Tahoma" w:cs="Tahoma"/>
        </w:rPr>
        <w:t>W</w:t>
      </w:r>
      <w:r w:rsidR="00A64DE9" w:rsidRPr="00A64DE9">
        <w:rPr>
          <w:rFonts w:ascii="Tahoma" w:hAnsi="Tahoma" w:cs="Tahoma"/>
        </w:rPr>
        <w:t xml:space="preserve"> wycenie należy uwzględnić wszystkie zmiany wprowadzone przez Zamawiającego w udzielonych odpowiedziach</w:t>
      </w:r>
      <w:r w:rsidR="00A64DE9">
        <w:rPr>
          <w:rFonts w:ascii="Tahoma" w:hAnsi="Tahoma" w:cs="Tahoma"/>
        </w:rPr>
        <w:t>.</w:t>
      </w:r>
    </w:p>
    <w:p w14:paraId="609E1FAA" w14:textId="2D31A67C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4CCA1D6" w14:textId="24B317B3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Załączniki:</w:t>
      </w:r>
    </w:p>
    <w:p w14:paraId="05A102C6" w14:textId="06610FB8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Projekt techniczny elektryczny</w:t>
      </w:r>
    </w:p>
    <w:p w14:paraId="54A4AE4E" w14:textId="7833B505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Rys. nr 2a</w:t>
      </w:r>
    </w:p>
    <w:p w14:paraId="66E30685" w14:textId="785613C2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1940F97F" w14:textId="77777777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1662D5B" w14:textId="0CB83FA1" w:rsidR="002C48A2" w:rsidRPr="00DB4B21" w:rsidRDefault="002C48A2" w:rsidP="002C48A2">
      <w:pPr>
        <w:tabs>
          <w:tab w:val="num" w:pos="540"/>
          <w:tab w:val="left" w:pos="5529"/>
        </w:tabs>
        <w:spacing w:line="276" w:lineRule="auto"/>
        <w:ind w:firstLine="5245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    </w:t>
      </w:r>
      <w:r>
        <w:rPr>
          <w:rFonts w:ascii="Tahoma" w:hAnsi="Tahoma" w:cs="Tahoma"/>
          <w:b/>
          <w:bCs/>
          <w:i/>
        </w:rPr>
        <w:t xml:space="preserve"> </w:t>
      </w:r>
      <w:r>
        <w:rPr>
          <w:rFonts w:ascii="Tahoma" w:hAnsi="Tahoma" w:cs="Tahoma"/>
          <w:b/>
          <w:bCs/>
          <w:i/>
        </w:rPr>
        <w:t xml:space="preserve"> </w:t>
      </w:r>
      <w:r>
        <w:rPr>
          <w:rFonts w:ascii="Tahoma" w:hAnsi="Tahoma" w:cs="Tahoma"/>
          <w:b/>
          <w:bCs/>
          <w:i/>
        </w:rPr>
        <w:t xml:space="preserve">Z up. </w:t>
      </w:r>
      <w:r w:rsidRPr="00DB4B21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DB4B21">
        <w:rPr>
          <w:rFonts w:ascii="Tahoma" w:hAnsi="Tahoma" w:cs="Tahoma"/>
          <w:b/>
          <w:bCs/>
          <w:i/>
        </w:rPr>
        <w:t xml:space="preserve"> Gminy Mszana</w:t>
      </w:r>
    </w:p>
    <w:p w14:paraId="27E6E988" w14:textId="748ED7C7" w:rsidR="002C48A2" w:rsidRPr="00DB4B21" w:rsidRDefault="002C48A2" w:rsidP="002C48A2">
      <w:pPr>
        <w:tabs>
          <w:tab w:val="left" w:pos="5245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  <w:t xml:space="preserve">/-/ </w:t>
      </w:r>
      <w:r>
        <w:rPr>
          <w:rFonts w:ascii="Tahoma" w:hAnsi="Tahoma" w:cs="Tahoma"/>
          <w:b/>
          <w:bCs/>
          <w:i/>
        </w:rPr>
        <w:t xml:space="preserve">inż. Aleksandra </w:t>
      </w:r>
      <w:proofErr w:type="spellStart"/>
      <w:r>
        <w:rPr>
          <w:rFonts w:ascii="Tahoma" w:hAnsi="Tahoma" w:cs="Tahoma"/>
          <w:b/>
          <w:bCs/>
          <w:i/>
        </w:rPr>
        <w:t>Tkocz</w:t>
      </w:r>
      <w:proofErr w:type="spellEnd"/>
    </w:p>
    <w:p w14:paraId="406D2A62" w14:textId="36FFB8C9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19AFB6D3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683F90A2" w14:textId="1BCEB617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  <w:b/>
          <w:bCs/>
          <w:i/>
        </w:rPr>
      </w:pPr>
    </w:p>
    <w:p w14:paraId="642C4208" w14:textId="77777777" w:rsidR="00964E88" w:rsidRPr="00DD1661" w:rsidRDefault="00964E8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964E88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4688" w14:textId="77777777" w:rsidR="00EA610F" w:rsidRDefault="00EA610F" w:rsidP="00DA5839">
      <w:r>
        <w:separator/>
      </w:r>
    </w:p>
  </w:endnote>
  <w:endnote w:type="continuationSeparator" w:id="0">
    <w:p w14:paraId="6F06BD48" w14:textId="77777777" w:rsidR="00EA610F" w:rsidRDefault="00EA610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EF4E" w14:textId="77777777" w:rsidR="00EA610F" w:rsidRDefault="00EA610F" w:rsidP="00DA5839">
      <w:r>
        <w:separator/>
      </w:r>
    </w:p>
  </w:footnote>
  <w:footnote w:type="continuationSeparator" w:id="0">
    <w:p w14:paraId="5869E3F0" w14:textId="77777777" w:rsidR="00EA610F" w:rsidRDefault="00EA610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3C32A8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E6309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BF3CE83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800FC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0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4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9"/>
  </w:num>
  <w:num w:numId="3" w16cid:durableId="1630895151">
    <w:abstractNumId w:val="41"/>
  </w:num>
  <w:num w:numId="4" w16cid:durableId="492643633">
    <w:abstractNumId w:val="31"/>
  </w:num>
  <w:num w:numId="5" w16cid:durableId="1012339821">
    <w:abstractNumId w:val="34"/>
  </w:num>
  <w:num w:numId="6" w16cid:durableId="1233003418">
    <w:abstractNumId w:val="26"/>
  </w:num>
  <w:num w:numId="7" w16cid:durableId="977301492">
    <w:abstractNumId w:val="38"/>
  </w:num>
  <w:num w:numId="8" w16cid:durableId="1465192075">
    <w:abstractNumId w:val="47"/>
  </w:num>
  <w:num w:numId="9" w16cid:durableId="1955479285">
    <w:abstractNumId w:val="24"/>
  </w:num>
  <w:num w:numId="10" w16cid:durableId="1501969743">
    <w:abstractNumId w:val="33"/>
  </w:num>
  <w:num w:numId="11" w16cid:durableId="1398433051">
    <w:abstractNumId w:val="27"/>
  </w:num>
  <w:num w:numId="12" w16cid:durableId="967778947">
    <w:abstractNumId w:val="43"/>
  </w:num>
  <w:num w:numId="13" w16cid:durableId="17049444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4"/>
  </w:num>
  <w:num w:numId="17" w16cid:durableId="8120209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7"/>
  </w:num>
  <w:num w:numId="19" w16cid:durableId="1165319742">
    <w:abstractNumId w:val="42"/>
  </w:num>
  <w:num w:numId="20" w16cid:durableId="154790907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16956,ab36d0ab2bf76698bc936a7f0be7fd9d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1416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2023-02-22T10:17:00Z</dcterms:modified>
</cp:coreProperties>
</file>